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E7A81" w14:textId="058A88A7" w:rsidR="00D927E7" w:rsidRDefault="00D927E7" w:rsidP="00D927E7">
      <w:pPr>
        <w:pStyle w:val="Heading1"/>
        <w:spacing w:before="76"/>
        <w:ind w:left="121"/>
      </w:pPr>
      <w:bookmarkStart w:id="0" w:name="_GoBack"/>
      <w:bookmarkEnd w:id="0"/>
      <w:r>
        <w:t>Table 1. Definitions of measurement properties [16]</w:t>
      </w:r>
    </w:p>
    <w:p w14:paraId="3B3EA5F1" w14:textId="77777777" w:rsidR="00D927E7" w:rsidRDefault="00D927E7" w:rsidP="00D927E7">
      <w:pPr>
        <w:pStyle w:val="BodyText"/>
        <w:spacing w:before="1"/>
        <w:rPr>
          <w:b/>
        </w:rPr>
      </w:pPr>
    </w:p>
    <w:tbl>
      <w:tblPr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6032"/>
      </w:tblGrid>
      <w:tr w:rsidR="00D927E7" w14:paraId="3E76140A" w14:textId="77777777" w:rsidTr="009F214A">
        <w:trPr>
          <w:trHeight w:val="551"/>
        </w:trPr>
        <w:tc>
          <w:tcPr>
            <w:tcW w:w="2482" w:type="dxa"/>
            <w:tcBorders>
              <w:left w:val="nil"/>
            </w:tcBorders>
          </w:tcPr>
          <w:p w14:paraId="6D70EAC9" w14:textId="77777777" w:rsidR="00D927E7" w:rsidRDefault="00D927E7" w:rsidP="009F214A">
            <w:pPr>
              <w:pStyle w:val="TableParagraph"/>
              <w:spacing w:before="2" w:line="276" w:lineRule="exact"/>
              <w:ind w:left="127" w:right="917"/>
              <w:rPr>
                <w:b/>
                <w:sz w:val="24"/>
              </w:rPr>
            </w:pPr>
            <w:r>
              <w:rPr>
                <w:b/>
                <w:sz w:val="24"/>
              </w:rPr>
              <w:t>Measurement property</w:t>
            </w:r>
          </w:p>
        </w:tc>
        <w:tc>
          <w:tcPr>
            <w:tcW w:w="6032" w:type="dxa"/>
            <w:tcBorders>
              <w:right w:val="nil"/>
            </w:tcBorders>
          </w:tcPr>
          <w:p w14:paraId="1FEC11DD" w14:textId="77777777" w:rsidR="00D927E7" w:rsidRDefault="00D927E7" w:rsidP="009F214A">
            <w:pPr>
              <w:pStyle w:val="TableParagraph"/>
              <w:spacing w:line="275" w:lineRule="exact"/>
              <w:ind w:left="2480" w:right="2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Definition</w:t>
            </w:r>
          </w:p>
        </w:tc>
      </w:tr>
      <w:tr w:rsidR="00D927E7" w14:paraId="04E58700" w14:textId="77777777" w:rsidTr="009F214A">
        <w:trPr>
          <w:trHeight w:val="549"/>
        </w:trPr>
        <w:tc>
          <w:tcPr>
            <w:tcW w:w="2482" w:type="dxa"/>
            <w:vMerge w:val="restart"/>
            <w:tcBorders>
              <w:left w:val="nil"/>
            </w:tcBorders>
          </w:tcPr>
          <w:p w14:paraId="52EBABC8" w14:textId="77777777" w:rsidR="00D927E7" w:rsidRDefault="00D927E7" w:rsidP="009F214A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Content validity</w:t>
            </w:r>
          </w:p>
        </w:tc>
        <w:tc>
          <w:tcPr>
            <w:tcW w:w="6032" w:type="dxa"/>
            <w:tcBorders>
              <w:right w:val="nil"/>
            </w:tcBorders>
          </w:tcPr>
          <w:p w14:paraId="362A03EE" w14:textId="61F27571" w:rsidR="00D927E7" w:rsidRDefault="00D927E7" w:rsidP="009F214A">
            <w:pPr>
              <w:pStyle w:val="TableParagraph"/>
              <w:spacing w:line="276" w:lineRule="exact"/>
              <w:ind w:left="105" w:right="330"/>
              <w:rPr>
                <w:sz w:val="24"/>
              </w:rPr>
            </w:pPr>
            <w:r>
              <w:rPr>
                <w:sz w:val="24"/>
              </w:rPr>
              <w:t xml:space="preserve">The degree to which the content of an </w:t>
            </w:r>
            <w:r>
              <w:t>Self-reported questionnaires</w:t>
            </w:r>
            <w:r>
              <w:rPr>
                <w:sz w:val="24"/>
              </w:rPr>
              <w:t xml:space="preserve"> (SRQs) is an adequate reflection of the construct to be measured</w:t>
            </w:r>
          </w:p>
        </w:tc>
      </w:tr>
      <w:tr w:rsidR="00D927E7" w14:paraId="4525D64E" w14:textId="77777777" w:rsidTr="009F214A">
        <w:trPr>
          <w:trHeight w:val="548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7478ADB0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54AC3CF6" w14:textId="77777777" w:rsidR="00D927E7" w:rsidRDefault="00D927E7" w:rsidP="009F214A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“Are all items relevant for the specific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population and</w:t>
            </w:r>
          </w:p>
          <w:p w14:paraId="6EAB854D" w14:textId="77777777" w:rsidR="00D927E7" w:rsidRDefault="00D927E7" w:rsidP="009F214A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have important activities been missed?”</w:t>
            </w:r>
          </w:p>
        </w:tc>
      </w:tr>
      <w:tr w:rsidR="00D927E7" w14:paraId="0B692216" w14:textId="77777777" w:rsidTr="009F214A">
        <w:trPr>
          <w:trHeight w:val="827"/>
        </w:trPr>
        <w:tc>
          <w:tcPr>
            <w:tcW w:w="2482" w:type="dxa"/>
            <w:vMerge w:val="restart"/>
            <w:tcBorders>
              <w:left w:val="nil"/>
            </w:tcBorders>
          </w:tcPr>
          <w:p w14:paraId="579B4793" w14:textId="77777777" w:rsidR="00D927E7" w:rsidRDefault="00D927E7" w:rsidP="009F214A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Structural validity</w:t>
            </w:r>
          </w:p>
        </w:tc>
        <w:tc>
          <w:tcPr>
            <w:tcW w:w="6032" w:type="dxa"/>
            <w:tcBorders>
              <w:right w:val="nil"/>
            </w:tcBorders>
          </w:tcPr>
          <w:p w14:paraId="7B15B90D" w14:textId="77777777" w:rsidR="00D927E7" w:rsidRDefault="00D927E7" w:rsidP="009F214A">
            <w:pPr>
              <w:pStyle w:val="TableParagraph"/>
              <w:spacing w:before="2" w:line="276" w:lineRule="exact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The degree to which the scores of an SRQ are an adequate reflection of the dimensionality of the construct to be measured</w:t>
            </w:r>
          </w:p>
        </w:tc>
      </w:tr>
      <w:tr w:rsidR="00D927E7" w14:paraId="27C9254E" w14:textId="77777777" w:rsidTr="009F214A">
        <w:trPr>
          <w:trHeight w:val="551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5B4D4AEE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3F407B5B" w14:textId="77777777" w:rsidR="00D927E7" w:rsidRDefault="00D927E7" w:rsidP="009F214A">
            <w:pPr>
              <w:pStyle w:val="TableParagraph"/>
              <w:spacing w:before="2" w:line="276" w:lineRule="exact"/>
              <w:ind w:left="105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“Do all items in an SRQ reflect single or multiple constructs?”</w:t>
            </w:r>
          </w:p>
        </w:tc>
      </w:tr>
      <w:tr w:rsidR="00D927E7" w14:paraId="1BBD3540" w14:textId="77777777" w:rsidTr="009F214A">
        <w:trPr>
          <w:trHeight w:val="549"/>
        </w:trPr>
        <w:tc>
          <w:tcPr>
            <w:tcW w:w="2482" w:type="dxa"/>
            <w:vMerge w:val="restart"/>
            <w:tcBorders>
              <w:left w:val="nil"/>
            </w:tcBorders>
          </w:tcPr>
          <w:p w14:paraId="6AA8F39B" w14:textId="77777777" w:rsidR="00D927E7" w:rsidRDefault="00D927E7" w:rsidP="009F214A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Internal consistency</w:t>
            </w:r>
          </w:p>
        </w:tc>
        <w:tc>
          <w:tcPr>
            <w:tcW w:w="6032" w:type="dxa"/>
            <w:tcBorders>
              <w:right w:val="nil"/>
            </w:tcBorders>
          </w:tcPr>
          <w:p w14:paraId="6E966C14" w14:textId="77777777" w:rsidR="00D927E7" w:rsidRDefault="00D927E7" w:rsidP="009F214A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“Are all items relevant for the specific population and have important activities been missed?”</w:t>
            </w:r>
          </w:p>
        </w:tc>
      </w:tr>
      <w:tr w:rsidR="00D927E7" w14:paraId="2D99500B" w14:textId="77777777" w:rsidTr="009F214A">
        <w:trPr>
          <w:trHeight w:val="824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44B0A700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4803812B" w14:textId="77777777" w:rsidR="00D927E7" w:rsidRDefault="00D927E7" w:rsidP="009F214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“Do the different questions in an SRQ that evidence to measure the same general construct produces similar</w:t>
            </w:r>
          </w:p>
          <w:p w14:paraId="497F241D" w14:textId="77777777" w:rsidR="00D927E7" w:rsidRDefault="00D927E7" w:rsidP="009F214A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scores?”</w:t>
            </w:r>
          </w:p>
        </w:tc>
      </w:tr>
      <w:tr w:rsidR="00D927E7" w14:paraId="23BB05C9" w14:textId="77777777" w:rsidTr="009F214A">
        <w:trPr>
          <w:trHeight w:val="1103"/>
        </w:trPr>
        <w:tc>
          <w:tcPr>
            <w:tcW w:w="2482" w:type="dxa"/>
            <w:vMerge w:val="restart"/>
            <w:tcBorders>
              <w:left w:val="nil"/>
            </w:tcBorders>
          </w:tcPr>
          <w:p w14:paraId="6DA071DD" w14:textId="77777777" w:rsidR="00D927E7" w:rsidRDefault="00D927E7" w:rsidP="009F214A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Cross-cultural validity</w:t>
            </w:r>
          </w:p>
        </w:tc>
        <w:tc>
          <w:tcPr>
            <w:tcW w:w="6032" w:type="dxa"/>
            <w:tcBorders>
              <w:right w:val="nil"/>
            </w:tcBorders>
          </w:tcPr>
          <w:p w14:paraId="3F3D0A25" w14:textId="77777777" w:rsidR="00D927E7" w:rsidRDefault="00D927E7" w:rsidP="009F214A">
            <w:pPr>
              <w:pStyle w:val="TableParagraph"/>
              <w:spacing w:before="2" w:line="276" w:lineRule="exac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The degree to which the performance of the items on a translated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culturally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adapted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SRQ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adequate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reflection of the performance of the items of the original version of the SRQ</w:t>
            </w:r>
          </w:p>
        </w:tc>
      </w:tr>
      <w:tr w:rsidR="00D927E7" w14:paraId="54626519" w14:textId="77777777" w:rsidTr="009F214A">
        <w:trPr>
          <w:trHeight w:val="561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58D9A96A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31452698" w14:textId="77777777" w:rsidR="00D927E7" w:rsidRDefault="00D927E7" w:rsidP="009F214A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“Has the SRQ been correctly translated and retested in</w:t>
            </w:r>
          </w:p>
          <w:p w14:paraId="44E65BF3" w14:textId="77777777" w:rsidR="00D927E7" w:rsidRDefault="00D927E7" w:rsidP="009F214A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another language and cultural setting?”</w:t>
            </w:r>
          </w:p>
        </w:tc>
      </w:tr>
      <w:tr w:rsidR="00D927E7" w14:paraId="4E4D7BD9" w14:textId="77777777" w:rsidTr="009F214A">
        <w:trPr>
          <w:trHeight w:val="551"/>
        </w:trPr>
        <w:tc>
          <w:tcPr>
            <w:tcW w:w="2482" w:type="dxa"/>
            <w:vMerge w:val="restart"/>
            <w:tcBorders>
              <w:left w:val="nil"/>
            </w:tcBorders>
          </w:tcPr>
          <w:p w14:paraId="5DCD5888" w14:textId="77777777" w:rsidR="00D927E7" w:rsidRDefault="00D927E7" w:rsidP="009F214A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Reliability</w:t>
            </w:r>
          </w:p>
        </w:tc>
        <w:tc>
          <w:tcPr>
            <w:tcW w:w="6032" w:type="dxa"/>
            <w:tcBorders>
              <w:right w:val="nil"/>
            </w:tcBorders>
          </w:tcPr>
          <w:p w14:paraId="29CA3B30" w14:textId="77777777" w:rsidR="00D927E7" w:rsidRDefault="00D927E7" w:rsidP="009F214A">
            <w:pPr>
              <w:pStyle w:val="TableParagraph"/>
              <w:spacing w:before="2" w:line="276" w:lineRule="exact"/>
              <w:ind w:left="105" w:right="330"/>
              <w:rPr>
                <w:sz w:val="24"/>
              </w:rPr>
            </w:pPr>
            <w:r>
              <w:rPr>
                <w:sz w:val="24"/>
              </w:rPr>
              <w:t>The proportion of the total variance in the measurements which is because of “true” differences among patients</w:t>
            </w:r>
          </w:p>
        </w:tc>
      </w:tr>
      <w:tr w:rsidR="00D927E7" w14:paraId="46FFAB3F" w14:textId="77777777" w:rsidTr="009F214A">
        <w:trPr>
          <w:trHeight w:val="273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0D9524C1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2DAFA953" w14:textId="77777777" w:rsidR="00D927E7" w:rsidRDefault="00D927E7" w:rsidP="009F214A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“How close are repeated measurements?”</w:t>
            </w:r>
          </w:p>
        </w:tc>
      </w:tr>
      <w:tr w:rsidR="00D927E7" w14:paraId="78546C6B" w14:textId="77777777" w:rsidTr="009F214A">
        <w:trPr>
          <w:trHeight w:val="829"/>
        </w:trPr>
        <w:tc>
          <w:tcPr>
            <w:tcW w:w="2482" w:type="dxa"/>
            <w:vMerge w:val="restart"/>
            <w:tcBorders>
              <w:left w:val="nil"/>
            </w:tcBorders>
          </w:tcPr>
          <w:p w14:paraId="59595E69" w14:textId="77777777" w:rsidR="00D927E7" w:rsidRDefault="00D927E7" w:rsidP="009F214A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Measurement error</w:t>
            </w:r>
          </w:p>
        </w:tc>
        <w:tc>
          <w:tcPr>
            <w:tcW w:w="6032" w:type="dxa"/>
            <w:tcBorders>
              <w:right w:val="nil"/>
            </w:tcBorders>
          </w:tcPr>
          <w:p w14:paraId="5487C9C5" w14:textId="77777777" w:rsidR="00D927E7" w:rsidRDefault="00D927E7" w:rsidP="009F214A">
            <w:pPr>
              <w:pStyle w:val="TableParagraph"/>
              <w:spacing w:before="1"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The systematic error and random error of a patient’s score that are not attributed to true changes in the construct to be measured</w:t>
            </w:r>
          </w:p>
        </w:tc>
      </w:tr>
      <w:tr w:rsidR="00D927E7" w14:paraId="20E4D733" w14:textId="77777777" w:rsidTr="009F214A">
        <w:trPr>
          <w:trHeight w:val="551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59D04D9D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273E6CE8" w14:textId="77777777" w:rsidR="00D927E7" w:rsidRDefault="00D927E7" w:rsidP="009F214A">
            <w:pPr>
              <w:pStyle w:val="TableParagraph"/>
              <w:spacing w:before="2"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“What amount of change in a score cannot be considered a real or true change?”</w:t>
            </w:r>
          </w:p>
        </w:tc>
      </w:tr>
      <w:tr w:rsidR="00D927E7" w14:paraId="7FFA7E4B" w14:textId="77777777" w:rsidTr="009F214A">
        <w:trPr>
          <w:trHeight w:val="549"/>
        </w:trPr>
        <w:tc>
          <w:tcPr>
            <w:tcW w:w="2482" w:type="dxa"/>
            <w:vMerge w:val="restart"/>
            <w:tcBorders>
              <w:left w:val="nil"/>
            </w:tcBorders>
          </w:tcPr>
          <w:p w14:paraId="06208DFB" w14:textId="77777777" w:rsidR="00D927E7" w:rsidRDefault="00D927E7" w:rsidP="009F214A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Criterion validity</w:t>
            </w:r>
          </w:p>
        </w:tc>
        <w:tc>
          <w:tcPr>
            <w:tcW w:w="6032" w:type="dxa"/>
            <w:tcBorders>
              <w:right w:val="nil"/>
            </w:tcBorders>
          </w:tcPr>
          <w:p w14:paraId="29F3907B" w14:textId="77777777" w:rsidR="00D927E7" w:rsidRDefault="00D927E7" w:rsidP="009F214A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The degree to which the scores of an SRQ are an adequate reflection of a “gold standard.”</w:t>
            </w:r>
          </w:p>
        </w:tc>
      </w:tr>
      <w:tr w:rsidR="00D927E7" w14:paraId="19573F40" w14:textId="77777777" w:rsidTr="009F214A">
        <w:trPr>
          <w:trHeight w:val="272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47CC0B9E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79E67659" w14:textId="77777777" w:rsidR="00D927E7" w:rsidRDefault="00D927E7" w:rsidP="009F214A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“Is the SRQ tested against the benchmark SRQ?”</w:t>
            </w:r>
          </w:p>
        </w:tc>
      </w:tr>
      <w:tr w:rsidR="00D927E7" w14:paraId="6304EB0D" w14:textId="77777777" w:rsidTr="009F214A">
        <w:trPr>
          <w:trHeight w:val="1379"/>
        </w:trPr>
        <w:tc>
          <w:tcPr>
            <w:tcW w:w="2482" w:type="dxa"/>
            <w:vMerge w:val="restart"/>
            <w:tcBorders>
              <w:left w:val="nil"/>
            </w:tcBorders>
          </w:tcPr>
          <w:p w14:paraId="43224B19" w14:textId="77777777" w:rsidR="00D927E7" w:rsidRDefault="00D927E7" w:rsidP="009F214A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Hypotheses testing</w:t>
            </w:r>
          </w:p>
        </w:tc>
        <w:tc>
          <w:tcPr>
            <w:tcW w:w="6032" w:type="dxa"/>
            <w:tcBorders>
              <w:right w:val="nil"/>
            </w:tcBorders>
          </w:tcPr>
          <w:p w14:paraId="15A7D78D" w14:textId="77777777" w:rsidR="00D927E7" w:rsidRDefault="00D927E7" w:rsidP="009F214A">
            <w:pPr>
              <w:pStyle w:val="TableParagraph"/>
              <w:spacing w:before="2" w:line="276" w:lineRule="exac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degree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scores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SRQ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consistent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with hypotheses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instance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regard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relationships, relationships to scores of other instruments, or differences between relevant groups) based on the assumption that the SRQ validly measures the construct to 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measured</w:t>
            </w:r>
          </w:p>
        </w:tc>
      </w:tr>
      <w:tr w:rsidR="00D927E7" w14:paraId="70B8DBF4" w14:textId="77777777" w:rsidTr="009F214A">
        <w:trPr>
          <w:trHeight w:val="549"/>
        </w:trPr>
        <w:tc>
          <w:tcPr>
            <w:tcW w:w="2482" w:type="dxa"/>
            <w:vMerge/>
            <w:tcBorders>
              <w:top w:val="nil"/>
              <w:left w:val="nil"/>
            </w:tcBorders>
          </w:tcPr>
          <w:p w14:paraId="4EBA3FB8" w14:textId="77777777" w:rsidR="00D927E7" w:rsidRDefault="00D927E7" w:rsidP="009F214A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5A2B4232" w14:textId="77777777" w:rsidR="00D927E7" w:rsidRDefault="00D927E7" w:rsidP="009F214A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“What is the expected relationship with other SRQs</w:t>
            </w:r>
          </w:p>
          <w:p w14:paraId="48975586" w14:textId="77777777" w:rsidR="00D927E7" w:rsidRDefault="00D927E7" w:rsidP="009F214A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assessing comparable constructs?”</w:t>
            </w:r>
          </w:p>
        </w:tc>
      </w:tr>
      <w:tr w:rsidR="00D927E7" w14:paraId="560432EE" w14:textId="77777777" w:rsidTr="009F214A">
        <w:trPr>
          <w:trHeight w:val="551"/>
        </w:trPr>
        <w:tc>
          <w:tcPr>
            <w:tcW w:w="2482" w:type="dxa"/>
            <w:tcBorders>
              <w:left w:val="nil"/>
            </w:tcBorders>
          </w:tcPr>
          <w:p w14:paraId="7EDB1D84" w14:textId="77777777" w:rsidR="00D927E7" w:rsidRDefault="00D927E7" w:rsidP="009F214A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Responsiveness</w:t>
            </w:r>
          </w:p>
        </w:tc>
        <w:tc>
          <w:tcPr>
            <w:tcW w:w="6032" w:type="dxa"/>
            <w:tcBorders>
              <w:right w:val="nil"/>
            </w:tcBorders>
          </w:tcPr>
          <w:p w14:paraId="37085727" w14:textId="77777777" w:rsidR="00D927E7" w:rsidRDefault="00D927E7" w:rsidP="009F214A">
            <w:pPr>
              <w:pStyle w:val="TableParagraph"/>
              <w:spacing w:before="2" w:line="276" w:lineRule="exact"/>
              <w:ind w:left="105" w:right="330"/>
              <w:rPr>
                <w:sz w:val="24"/>
              </w:rPr>
            </w:pPr>
            <w:r>
              <w:rPr>
                <w:sz w:val="24"/>
              </w:rPr>
              <w:t>The ability of an SRQ to detect change over time in the construct to be measured</w:t>
            </w:r>
          </w:p>
        </w:tc>
      </w:tr>
      <w:tr w:rsidR="00D927E7" w14:paraId="75554626" w14:textId="77777777" w:rsidTr="009F214A">
        <w:trPr>
          <w:trHeight w:val="551"/>
        </w:trPr>
        <w:tc>
          <w:tcPr>
            <w:tcW w:w="2482" w:type="dxa"/>
            <w:tcBorders>
              <w:left w:val="nil"/>
            </w:tcBorders>
          </w:tcPr>
          <w:p w14:paraId="7A22C467" w14:textId="77777777" w:rsidR="00D927E7" w:rsidRDefault="00D927E7" w:rsidP="009F214A">
            <w:pPr>
              <w:pStyle w:val="TableParagraph"/>
              <w:rPr>
                <w:sz w:val="24"/>
              </w:rPr>
            </w:pPr>
          </w:p>
        </w:tc>
        <w:tc>
          <w:tcPr>
            <w:tcW w:w="6032" w:type="dxa"/>
            <w:tcBorders>
              <w:right w:val="nil"/>
            </w:tcBorders>
          </w:tcPr>
          <w:p w14:paraId="22D58B7F" w14:textId="77777777" w:rsidR="00D927E7" w:rsidRDefault="00D927E7" w:rsidP="009F214A">
            <w:pPr>
              <w:pStyle w:val="TableParagraph"/>
              <w:spacing w:before="2" w:line="276" w:lineRule="exact"/>
              <w:ind w:left="105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“If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patients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improve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worsen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over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does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change in the SRQ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accordingly?”</w:t>
            </w:r>
          </w:p>
        </w:tc>
      </w:tr>
    </w:tbl>
    <w:p w14:paraId="31DD1DB5" w14:textId="781C0A6F" w:rsidR="00D31908" w:rsidRDefault="00D927E7" w:rsidP="00D31908">
      <w:pPr>
        <w:pStyle w:val="BodyText"/>
        <w:ind w:left="121"/>
      </w:pPr>
      <w:r>
        <w:t>Clarification of definition is in bold; SRQ-Self-reported questionnaire</w:t>
      </w:r>
    </w:p>
    <w:p w14:paraId="4797FF42" w14:textId="7AA44B3B" w:rsidR="00B851C4" w:rsidRDefault="00B851C4"/>
    <w:sectPr w:rsidR="00B85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M7C0tDQ0MDAxNDRU0lEKTi0uzszPAykwrAUAtK5kPSwAAAA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TF-Standard NL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ddarppzdt2wr4erapxvfrxer09tv9pwwfv0&quot;&gt;SRQreview_write-up_VSP_02-07-2019&lt;record-ids&gt;&lt;item&gt;9439&lt;/item&gt;&lt;/record-ids&gt;&lt;/item&gt;&lt;/Libraries&gt;"/>
  </w:docVars>
  <w:rsids>
    <w:rsidRoot w:val="00006C5F"/>
    <w:rsid w:val="00006C5F"/>
    <w:rsid w:val="000E7F1A"/>
    <w:rsid w:val="00151F9C"/>
    <w:rsid w:val="00374799"/>
    <w:rsid w:val="00B851C4"/>
    <w:rsid w:val="00D31908"/>
    <w:rsid w:val="00D9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A8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C5F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D927E7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2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7E7"/>
    <w:rPr>
      <w:rFonts w:ascii="Segoe UI" w:eastAsiaTheme="minorEastAsia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927E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92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927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D92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rsid w:val="00D31908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D31908"/>
    <w:rPr>
      <w:rFonts w:ascii="Calibri" w:eastAsiaTheme="minorEastAsia" w:hAnsi="Calibri" w:cs="Calibri"/>
      <w:b w:val="0"/>
      <w:bCs w:val="0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31908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Heading1Char"/>
    <w:link w:val="EndNoteBibliography"/>
    <w:rsid w:val="00D31908"/>
    <w:rPr>
      <w:rFonts w:ascii="Calibri" w:eastAsiaTheme="minorEastAsia" w:hAnsi="Calibri" w:cs="Calibri"/>
      <w:b w:val="0"/>
      <w:bCs w:val="0"/>
      <w:noProof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C5F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D927E7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2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7E7"/>
    <w:rPr>
      <w:rFonts w:ascii="Segoe UI" w:eastAsiaTheme="minorEastAsia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927E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92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927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D92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rsid w:val="00D31908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D31908"/>
    <w:rPr>
      <w:rFonts w:ascii="Calibri" w:eastAsiaTheme="minorEastAsia" w:hAnsi="Calibri" w:cs="Calibri"/>
      <w:b w:val="0"/>
      <w:bCs w:val="0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31908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Heading1Char"/>
    <w:link w:val="EndNoteBibliography"/>
    <w:rsid w:val="00D31908"/>
    <w:rPr>
      <w:rFonts w:ascii="Calibri" w:eastAsiaTheme="minorEastAsia" w:hAnsi="Calibri" w:cs="Calibri"/>
      <w:b w:val="0"/>
      <w:bCs w:val="0"/>
      <w:noProof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Dylke</dc:creator>
  <cp:lastModifiedBy>Laxmi S. Dharmapuri</cp:lastModifiedBy>
  <cp:revision>2</cp:revision>
  <dcterms:created xsi:type="dcterms:W3CDTF">2020-12-22T12:23:00Z</dcterms:created>
  <dcterms:modified xsi:type="dcterms:W3CDTF">2020-12-22T12:23:00Z</dcterms:modified>
</cp:coreProperties>
</file>